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99" w:rsidRPr="0058589D" w:rsidRDefault="00E24FE2" w:rsidP="00542D99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bookmarkStart w:id="0" w:name="_GoBack"/>
      <w:r>
        <w:rPr>
          <w:rFonts w:ascii="Times New Roman" w:eastAsia="Arial Unicode MS" w:hAnsi="Times New Roman" w:cs="Times New Roman"/>
          <w:noProof/>
          <w:color w:val="00000A"/>
          <w:kern w:val="1"/>
          <w:sz w:val="28"/>
          <w:szCs w:val="28"/>
        </w:rPr>
        <w:drawing>
          <wp:inline distT="0" distB="0" distL="0" distR="0">
            <wp:extent cx="5940425" cy="216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42D99" w:rsidRPr="00D06B24" w:rsidRDefault="00542D99" w:rsidP="00542D99">
      <w:pPr>
        <w:suppressAutoHyphens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ИНДИВИДУАЛЬНЫЙ УЧЕБНЫЙ ПЛАН</w:t>
      </w:r>
    </w:p>
    <w:p w:rsidR="00542D99" w:rsidRPr="00DE265D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«Ануй</w:t>
      </w:r>
      <w:r w:rsidRPr="00DE265D">
        <w:rPr>
          <w:rFonts w:ascii="Times New Roman" w:hAnsi="Times New Roman"/>
          <w:b/>
          <w:sz w:val="24"/>
          <w:szCs w:val="24"/>
        </w:rPr>
        <w:t>ская СОШ»</w:t>
      </w:r>
    </w:p>
    <w:p w:rsidR="00542D99" w:rsidRPr="00DE265D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="00184062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9 класса</w:t>
      </w:r>
      <w:r w:rsidR="001840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4062">
        <w:rPr>
          <w:rFonts w:ascii="Times New Roman" w:hAnsi="Times New Roman"/>
          <w:b/>
          <w:sz w:val="24"/>
          <w:szCs w:val="24"/>
        </w:rPr>
        <w:t>Кавылина</w:t>
      </w:r>
      <w:proofErr w:type="spellEnd"/>
      <w:r w:rsidR="00184062">
        <w:rPr>
          <w:rFonts w:ascii="Times New Roman" w:hAnsi="Times New Roman"/>
          <w:b/>
          <w:sz w:val="24"/>
          <w:szCs w:val="24"/>
        </w:rPr>
        <w:t xml:space="preserve"> Ильи,</w:t>
      </w:r>
      <w:r>
        <w:rPr>
          <w:rFonts w:ascii="Times New Roman" w:hAnsi="Times New Roman"/>
          <w:b/>
          <w:sz w:val="24"/>
          <w:szCs w:val="24"/>
        </w:rPr>
        <w:t xml:space="preserve"> Шемонаева Артема</w:t>
      </w:r>
      <w:r w:rsidRPr="00DE265D">
        <w:rPr>
          <w:rFonts w:ascii="Times New Roman" w:hAnsi="Times New Roman"/>
          <w:b/>
          <w:sz w:val="24"/>
          <w:szCs w:val="24"/>
        </w:rPr>
        <w:t xml:space="preserve">   (ФГОС ООО)</w:t>
      </w:r>
    </w:p>
    <w:p w:rsidR="00542D99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D06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На 202</w:t>
      </w:r>
      <w:r w:rsidR="001840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4</w:t>
      </w:r>
      <w:r w:rsidRPr="00D06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- 202</w:t>
      </w:r>
      <w:r w:rsidR="0018406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5</w:t>
      </w:r>
      <w:r w:rsidRPr="00D06B24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учебный год</w:t>
      </w: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Pr="00D06B24" w:rsidRDefault="00542D99" w:rsidP="00542D99">
      <w:pPr>
        <w:suppressAutoHyphens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pStyle w:val="a3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pStyle w:val="a3"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</w:p>
    <w:p w:rsidR="00542D99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5A27" w:rsidRDefault="000D5A27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P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42D99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542D99" w:rsidRPr="00DE265D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«Ануй</w:t>
      </w:r>
      <w:r w:rsidRPr="00DE265D">
        <w:rPr>
          <w:rFonts w:ascii="Times New Roman" w:hAnsi="Times New Roman"/>
          <w:b/>
          <w:sz w:val="24"/>
          <w:szCs w:val="24"/>
        </w:rPr>
        <w:t>ская СОШ»</w:t>
      </w:r>
    </w:p>
    <w:p w:rsidR="00542D99" w:rsidRPr="00DE265D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  <w:r w:rsidRPr="00DE265D">
        <w:rPr>
          <w:rFonts w:ascii="Times New Roman" w:hAnsi="Times New Roman"/>
          <w:b/>
          <w:sz w:val="24"/>
          <w:szCs w:val="24"/>
        </w:rPr>
        <w:t xml:space="preserve">   (ФГОС ООО)</w:t>
      </w:r>
    </w:p>
    <w:p w:rsidR="00542D99" w:rsidRPr="00184062" w:rsidRDefault="00542D99" w:rsidP="001840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18406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18406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265D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DE265D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DE265D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542D99" w:rsidRPr="00DE265D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DE265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42D99" w:rsidRPr="00DE265D" w:rsidRDefault="00542D99" w:rsidP="00542D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2D99" w:rsidRPr="000D5A27" w:rsidRDefault="00542D99" w:rsidP="000D5A2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65D">
        <w:rPr>
          <w:rFonts w:ascii="Times New Roman" w:hAnsi="Times New Roman"/>
          <w:b/>
          <w:bCs/>
          <w:sz w:val="24"/>
          <w:szCs w:val="24"/>
        </w:rPr>
        <w:t>Нормативные документы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«Ануй</w:t>
      </w:r>
      <w:r w:rsidRPr="00DE265D">
        <w:rPr>
          <w:rFonts w:ascii="Times New Roman" w:hAnsi="Times New Roman"/>
          <w:sz w:val="24"/>
          <w:szCs w:val="24"/>
        </w:rPr>
        <w:t>ская СОШ» на уровне основного общего образования разработан на основе следующих нормативных документов: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  Федеральный  закон  Российской  Федерации  от  29  декабря  2012  г.  N  273-ФЗ  "Об образовании в Российской Федерации";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</w:t>
      </w:r>
      <w:r>
        <w:rPr>
          <w:rFonts w:ascii="Times New Roman" w:hAnsi="Times New Roman"/>
          <w:sz w:val="24"/>
          <w:szCs w:val="24"/>
        </w:rPr>
        <w:t>7</w:t>
      </w:r>
      <w:r w:rsidRPr="00F24AAB">
        <w:rPr>
          <w:rFonts w:ascii="Times New Roman" w:hAnsi="Times New Roman"/>
          <w:sz w:val="24"/>
          <w:szCs w:val="24"/>
        </w:rPr>
        <w:t xml:space="preserve"> «Об утверждении федерального государственного образовательного стандарта начального общего образования».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F24AA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F24AAB">
        <w:rPr>
          <w:rFonts w:ascii="Times New Roman" w:hAnsi="Times New Roman"/>
          <w:sz w:val="24"/>
          <w:szCs w:val="24"/>
        </w:rPr>
        <w:t xml:space="preserve"> России  от 18.07.2022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AAB">
        <w:rPr>
          <w:rFonts w:ascii="Times New Roman" w:hAnsi="Times New Roman"/>
          <w:sz w:val="24"/>
          <w:szCs w:val="24"/>
        </w:rPr>
        <w:t xml:space="preserve"> №56</w:t>
      </w:r>
      <w:r>
        <w:rPr>
          <w:rFonts w:ascii="Times New Roman" w:hAnsi="Times New Roman"/>
          <w:sz w:val="24"/>
          <w:szCs w:val="24"/>
        </w:rPr>
        <w:t>8</w:t>
      </w:r>
      <w:r w:rsidRPr="00F24AAB">
        <w:rPr>
          <w:rFonts w:ascii="Times New Roman" w:hAnsi="Times New Roman"/>
          <w:sz w:val="24"/>
          <w:szCs w:val="24"/>
        </w:rPr>
        <w:t xml:space="preserve"> « 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 от 31 мая 2021 г. № 286;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 Приказа  от 28 декабря 2018г №345 «О федеральном перечне учебников, рекомендуемых к использованию при реализации имеющих государственную аккредитацию образовательных программ  начального общего, основного общего и среднего общего образования».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 xml:space="preserve">- Приказа Главного управления образования и молодежной политики Алтайского края от 31.01.2014 г. № 619 «Об утверждении порядка регламентации и оформления </w:t>
      </w:r>
      <w:proofErr w:type="gramStart"/>
      <w:r w:rsidRPr="00F24AAB">
        <w:rPr>
          <w:rFonts w:ascii="Times New Roman" w:hAnsi="Times New Roman"/>
          <w:sz w:val="24"/>
          <w:szCs w:val="24"/>
        </w:rPr>
        <w:t>отношений</w:t>
      </w:r>
      <w:proofErr w:type="gramEnd"/>
      <w:r w:rsidRPr="00F24AAB">
        <w:rPr>
          <w:rFonts w:ascii="Times New Roman" w:hAnsi="Times New Roman"/>
          <w:sz w:val="24"/>
          <w:szCs w:val="24"/>
        </w:rPr>
        <w:t xml:space="preserve"> государственных и муниципальных 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образовательным программам на дому или в медицинских организациях»;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  Письмо  Министерства  образования  РФ  от  12.05.2011  №03-296  «Об  организации внеурочной  деятельности  при  введении  федерального  государственного образовательного стандарта общего образования»;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-5Постановление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обитания».- Приказа Министерства образования и науки РФ от 01.09.2016 №08-1803 «О реализации предметной области «Основы духовно-нравственной культуры народов России», приказа Министерства;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 xml:space="preserve">- Письма </w:t>
      </w:r>
      <w:proofErr w:type="spellStart"/>
      <w:r w:rsidRPr="00F24AA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24AAB">
        <w:rPr>
          <w:rFonts w:ascii="Times New Roman" w:hAnsi="Times New Roman"/>
          <w:sz w:val="24"/>
          <w:szCs w:val="24"/>
        </w:rPr>
        <w:t xml:space="preserve"> РФ от 08.10.2010 г. № ИК -1494/19 «О введении третьего часа физической культуры в недельный объём учебной нагрузки обучающихся общеобразовательных учреждений Российской Федерации»;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 письма Министерства образования и науки Алтайского края от 23.11.2018 г. №21-02/02/2008 «Об обязательном изучении родного языка»;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 письма Министерства образования и науки Алтайского края от 10.04.2019 г. № 23-02/02/1174 «Об изучении второго иностранного языка, родного языка и родной литературы»;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 Устава МБОУ «Ануйская СОШ»;</w:t>
      </w:r>
    </w:p>
    <w:p w:rsidR="00542D99" w:rsidRPr="00F24AAB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t>- ООП ООО МБОУ «Ануйская  СОШ»;</w:t>
      </w:r>
    </w:p>
    <w:p w:rsidR="00542D99" w:rsidRPr="00DE265D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4AAB">
        <w:rPr>
          <w:rFonts w:ascii="Times New Roman" w:hAnsi="Times New Roman"/>
          <w:sz w:val="24"/>
          <w:szCs w:val="24"/>
        </w:rPr>
        <w:lastRenderedPageBreak/>
        <w:t>- Календарный учебный гр</w:t>
      </w:r>
      <w:r>
        <w:rPr>
          <w:rFonts w:ascii="Times New Roman" w:hAnsi="Times New Roman"/>
          <w:sz w:val="24"/>
          <w:szCs w:val="24"/>
        </w:rPr>
        <w:t>афик МБОУ «Ануйская СОШ» на 2023</w:t>
      </w:r>
      <w:r w:rsidRPr="00F24AAB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  <w:r w:rsidRPr="00F24AAB">
        <w:rPr>
          <w:rFonts w:ascii="Times New Roman" w:hAnsi="Times New Roman"/>
          <w:sz w:val="24"/>
          <w:szCs w:val="24"/>
        </w:rPr>
        <w:t xml:space="preserve"> учебный год</w:t>
      </w:r>
    </w:p>
    <w:p w:rsidR="00542D99" w:rsidRPr="00DE265D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Учебный план  –  докумен</w:t>
      </w:r>
      <w:r>
        <w:rPr>
          <w:rFonts w:ascii="Times New Roman" w:hAnsi="Times New Roman"/>
          <w:sz w:val="24"/>
          <w:szCs w:val="24"/>
        </w:rPr>
        <w:t xml:space="preserve">т, который определяет перечень, </w:t>
      </w:r>
      <w:r w:rsidRPr="00DE265D">
        <w:rPr>
          <w:rFonts w:ascii="Times New Roman" w:hAnsi="Times New Roman"/>
          <w:sz w:val="24"/>
          <w:szCs w:val="24"/>
        </w:rPr>
        <w:t>трудоемкость,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последовательность и распределение по периодам обучения учебных предметов, курсов, иных видов учебной деятельности и формы промежуточной аттестации обучающихся.</w:t>
      </w:r>
    </w:p>
    <w:p w:rsidR="00542D99" w:rsidRPr="00DE265D" w:rsidRDefault="00542D99" w:rsidP="001840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Учебный план обеспечивает выполнение гигиенических требований к режиму образовательного процесса, установленных СанПиН 2.4.2. 2821 – 10, непрерывность начального общего, основного общего и среднего общего образования, преемственность между уровнями обучения и классами (годами обучения).</w:t>
      </w:r>
    </w:p>
    <w:p w:rsidR="00542D99" w:rsidRPr="00DE265D" w:rsidRDefault="00184062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42D99">
        <w:rPr>
          <w:rFonts w:ascii="Times New Roman" w:hAnsi="Times New Roman"/>
          <w:sz w:val="24"/>
          <w:szCs w:val="24"/>
        </w:rPr>
        <w:t>Сроки</w:t>
      </w:r>
      <w:r w:rsidR="00542D99">
        <w:rPr>
          <w:rFonts w:ascii="Times New Roman" w:hAnsi="Times New Roman"/>
          <w:sz w:val="24"/>
          <w:szCs w:val="24"/>
        </w:rPr>
        <w:tab/>
        <w:t>освоения программ основного общего образования </w:t>
      </w:r>
      <w:r w:rsidR="00542D99" w:rsidRPr="00DE265D">
        <w:rPr>
          <w:rFonts w:ascii="Times New Roman" w:hAnsi="Times New Roman"/>
          <w:sz w:val="24"/>
          <w:szCs w:val="24"/>
        </w:rPr>
        <w:t>и продолжительность учебного года соответствуют требованиям, установленным федеральным государственным образовательным стандартом основного образования.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Срок освоения образовательной программы основного общего образования - 5лет.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МБОУ «Ануйская</w:t>
      </w:r>
      <w:r w:rsidRPr="00DE265D">
        <w:rPr>
          <w:rFonts w:ascii="Times New Roman" w:hAnsi="Times New Roman"/>
          <w:bCs/>
          <w:sz w:val="24"/>
          <w:szCs w:val="24"/>
        </w:rPr>
        <w:t xml:space="preserve"> СОШ» устанавливается следующий режим занятий: учебная неделя составляет в </w:t>
      </w:r>
      <w:r>
        <w:rPr>
          <w:rFonts w:ascii="Times New Roman" w:hAnsi="Times New Roman"/>
          <w:bCs/>
          <w:sz w:val="24"/>
          <w:szCs w:val="24"/>
        </w:rPr>
        <w:t>8 класс – 5 дней; 7,9</w:t>
      </w:r>
      <w:r w:rsidRPr="00DE265D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>е - 6 дней</w:t>
      </w:r>
      <w:r w:rsidRPr="00DE265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Продолжительность урока (академического часа) составляет - 40 минут.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Перемены устанавливаются продолжительностью не менее 10 минут, 2 большие перемены (после 2</w:t>
      </w:r>
      <w:r>
        <w:rPr>
          <w:rFonts w:ascii="Times New Roman" w:hAnsi="Times New Roman"/>
          <w:sz w:val="24"/>
          <w:szCs w:val="24"/>
        </w:rPr>
        <w:t>,3</w:t>
      </w:r>
      <w:r w:rsidRPr="00DE265D">
        <w:rPr>
          <w:rFonts w:ascii="Times New Roman" w:hAnsi="Times New Roman"/>
          <w:sz w:val="24"/>
          <w:szCs w:val="24"/>
        </w:rPr>
        <w:t xml:space="preserve"> урока - 15 ми</w:t>
      </w:r>
      <w:r>
        <w:rPr>
          <w:rFonts w:ascii="Times New Roman" w:hAnsi="Times New Roman"/>
          <w:sz w:val="24"/>
          <w:szCs w:val="24"/>
        </w:rPr>
        <w:t>нут</w:t>
      </w:r>
      <w:r w:rsidRPr="00DE265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 Продолжительность учебного года в 5-8 классах составляет 35 недель, в 9 классах – 34 недели.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Наполняемость классов устанавливается в количестве 2</w:t>
      </w:r>
      <w:r>
        <w:rPr>
          <w:rFonts w:ascii="Times New Roman" w:hAnsi="Times New Roman"/>
          <w:sz w:val="24"/>
          <w:szCs w:val="24"/>
        </w:rPr>
        <w:t>0</w:t>
      </w:r>
      <w:r w:rsidRPr="00DE265D">
        <w:rPr>
          <w:rFonts w:ascii="Times New Roman" w:hAnsi="Times New Roman"/>
          <w:sz w:val="24"/>
          <w:szCs w:val="24"/>
        </w:rPr>
        <w:t xml:space="preserve"> обучающихся. При проведении занятий по иностранному языку, информатике, технологии допускается деление класса на две группы, если наполняемость класса составляет не менее 20 человек.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Учебный план определяет общие рамки 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Учебный план:</w:t>
      </w:r>
    </w:p>
    <w:p w:rsidR="00542D99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>-</w:t>
      </w:r>
      <w:r w:rsidRPr="00DE265D">
        <w:rPr>
          <w:rFonts w:ascii="Times New Roman" w:hAnsi="Times New Roman"/>
          <w:sz w:val="24"/>
          <w:szCs w:val="24"/>
        </w:rPr>
        <w:t xml:space="preserve"> фиксирует максимальный объём учебной нагрузки </w:t>
      </w:r>
      <w:proofErr w:type="gramStart"/>
      <w:r w:rsidRPr="00DE26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265D">
        <w:rPr>
          <w:rFonts w:ascii="Times New Roman" w:hAnsi="Times New Roman"/>
          <w:sz w:val="24"/>
          <w:szCs w:val="24"/>
        </w:rPr>
        <w:t>;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24AAB">
        <w:t xml:space="preserve"> </w:t>
      </w:r>
      <w:r w:rsidRPr="00F24AAB">
        <w:rPr>
          <w:rFonts w:ascii="Times New Roman" w:hAnsi="Times New Roman"/>
          <w:sz w:val="24"/>
          <w:szCs w:val="24"/>
        </w:rPr>
        <w:t xml:space="preserve">формы промежуточной аттестации </w:t>
      </w:r>
      <w:proofErr w:type="gramStart"/>
      <w:r w:rsidRPr="00F24AA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4AAB">
        <w:rPr>
          <w:rFonts w:ascii="Times New Roman" w:hAnsi="Times New Roman"/>
          <w:sz w:val="24"/>
          <w:szCs w:val="24"/>
        </w:rPr>
        <w:t>;</w:t>
      </w:r>
    </w:p>
    <w:p w:rsidR="00542D99" w:rsidRDefault="00542D99" w:rsidP="00542D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ymbol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распределяет учебные предметы, курсы по классам и учебным годам</w:t>
      </w:r>
      <w:r>
        <w:rPr>
          <w:rFonts w:ascii="Times New Roman" w:hAnsi="Times New Roman"/>
          <w:sz w:val="24"/>
          <w:szCs w:val="24"/>
        </w:rPr>
        <w:t>.</w:t>
      </w:r>
    </w:p>
    <w:p w:rsidR="00542D99" w:rsidRPr="000D5A27" w:rsidRDefault="00542D99" w:rsidP="00542D9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E265D">
        <w:rPr>
          <w:rFonts w:ascii="Times New Roman" w:hAnsi="Times New Roman"/>
          <w:b/>
          <w:sz w:val="24"/>
          <w:szCs w:val="24"/>
        </w:rPr>
        <w:t>2.Структура Учебного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265D">
        <w:rPr>
          <w:rFonts w:ascii="Times New Roman" w:hAnsi="Times New Roman"/>
          <w:b/>
          <w:sz w:val="24"/>
          <w:szCs w:val="24"/>
        </w:rPr>
        <w:t>плана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7-9</w:t>
      </w:r>
      <w:r w:rsidRPr="00DE265D">
        <w:rPr>
          <w:rFonts w:ascii="Times New Roman" w:hAnsi="Times New Roman"/>
          <w:sz w:val="24"/>
          <w:szCs w:val="24"/>
        </w:rPr>
        <w:t>-ых классов состоит из двух частей - обязательной части и части, формируемой участниками образовательных отношений.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 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Время, отводимое на данную часть примерного учебного плана, может быть использовано </w:t>
      </w:r>
      <w:proofErr w:type="gramStart"/>
      <w:r w:rsidRPr="00DE265D">
        <w:rPr>
          <w:rFonts w:ascii="Times New Roman" w:hAnsi="Times New Roman"/>
          <w:sz w:val="24"/>
          <w:szCs w:val="24"/>
        </w:rPr>
        <w:t>на</w:t>
      </w:r>
      <w:proofErr w:type="gramEnd"/>
      <w:r w:rsidRPr="00DE265D">
        <w:rPr>
          <w:rFonts w:ascii="Times New Roman" w:hAnsi="Times New Roman"/>
          <w:sz w:val="24"/>
          <w:szCs w:val="24"/>
        </w:rPr>
        <w:t>: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 xml:space="preserve">увеличение учебных часов, предусмотренных </w:t>
      </w:r>
      <w:r>
        <w:rPr>
          <w:rFonts w:ascii="Times New Roman" w:hAnsi="Times New Roman"/>
          <w:sz w:val="24"/>
          <w:szCs w:val="24"/>
        </w:rPr>
        <w:t xml:space="preserve">на изучение отдельных предметов </w:t>
      </w:r>
      <w:r w:rsidRPr="00DE265D">
        <w:rPr>
          <w:rFonts w:ascii="Times New Roman" w:hAnsi="Times New Roman"/>
          <w:sz w:val="24"/>
          <w:szCs w:val="24"/>
        </w:rPr>
        <w:t>обязательной части;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введение специально разработанных учебных курсов,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обеспечивающих интересы и потребности участников образовательного проце</w:t>
      </w:r>
      <w:r>
        <w:rPr>
          <w:rFonts w:ascii="Times New Roman" w:hAnsi="Times New Roman"/>
          <w:sz w:val="24"/>
          <w:szCs w:val="24"/>
        </w:rPr>
        <w:t>сса, в том числе этнокультурные.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Учебная деятельность осуществляется в рамках реализации основной образовательной программы основного общего образования школы. В учебном плане отражены основные требования ФГОС, представлены все учебные предметы,</w:t>
      </w:r>
      <w:r>
        <w:rPr>
          <w:rFonts w:ascii="Times New Roman" w:hAnsi="Times New Roman"/>
          <w:sz w:val="24"/>
          <w:szCs w:val="24"/>
        </w:rPr>
        <w:t xml:space="preserve"> обязательные для изучения в 5-9</w:t>
      </w:r>
      <w:r w:rsidRPr="00DE265D">
        <w:rPr>
          <w:rFonts w:ascii="Times New Roman" w:hAnsi="Times New Roman"/>
          <w:sz w:val="24"/>
          <w:szCs w:val="24"/>
        </w:rPr>
        <w:t xml:space="preserve"> классах.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DE265D">
        <w:rPr>
          <w:rFonts w:ascii="Times New Roman" w:hAnsi="Times New Roman"/>
          <w:sz w:val="24"/>
          <w:szCs w:val="24"/>
        </w:rPr>
        <w:t xml:space="preserve">соответствии </w:t>
      </w:r>
      <w:r>
        <w:rPr>
          <w:rFonts w:ascii="Times New Roman" w:hAnsi="Times New Roman"/>
          <w:sz w:val="24"/>
          <w:szCs w:val="24"/>
        </w:rPr>
        <w:t>с Уставом МБОУ «Ануйская</w:t>
      </w:r>
      <w:r w:rsidRPr="00DE265D">
        <w:rPr>
          <w:rFonts w:ascii="Times New Roman" w:hAnsi="Times New Roman"/>
          <w:sz w:val="24"/>
          <w:szCs w:val="24"/>
        </w:rPr>
        <w:t xml:space="preserve"> СОШ» учебная нагрузка и режим занятий обучающихся в Образовательной организации определяются  в  соответствии  с  санитарно-гигиеническими  требованиями.</w:t>
      </w:r>
    </w:p>
    <w:tbl>
      <w:tblPr>
        <w:tblW w:w="9639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42D99" w:rsidRPr="00DE265D" w:rsidTr="000305E0">
        <w:trPr>
          <w:trHeight w:val="289"/>
        </w:trPr>
        <w:tc>
          <w:tcPr>
            <w:tcW w:w="9639" w:type="dxa"/>
            <w:vAlign w:val="bottom"/>
          </w:tcPr>
          <w:p w:rsidR="00542D99" w:rsidRPr="00DE265D" w:rsidRDefault="00542D99" w:rsidP="000305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65D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чебный   год   начинается   1</w:t>
            </w:r>
            <w:r w:rsidRPr="00DE265D">
              <w:rPr>
                <w:rFonts w:ascii="Times New Roman" w:hAnsi="Times New Roman"/>
                <w:sz w:val="24"/>
                <w:szCs w:val="24"/>
              </w:rPr>
              <w:t xml:space="preserve">   сентября.  Продолжительность учебного </w:t>
            </w:r>
            <w:r>
              <w:rPr>
                <w:rFonts w:ascii="Times New Roman" w:hAnsi="Times New Roman"/>
                <w:sz w:val="24"/>
                <w:szCs w:val="24"/>
              </w:rPr>
              <w:t>года в 5-8 классах – 35 недель, в 9 классе – 34 недели.</w:t>
            </w:r>
          </w:p>
        </w:tc>
      </w:tr>
    </w:tbl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lastRenderedPageBreak/>
        <w:t>Продолжительность каникул в течение учебного года (суммарно) - не менее 30 календарных дней, летом - не менее 8 недель.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Годовой календарный учебный график разрабатывается и утверждается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Образовательной организацией по согласованию с органом, осуществляющим функции и полномочия учредителя</w:t>
      </w:r>
      <w:r w:rsidRPr="00DE265D">
        <w:rPr>
          <w:rFonts w:ascii="Times New Roman" w:hAnsi="Times New Roman"/>
          <w:color w:val="9BBB59"/>
          <w:sz w:val="24"/>
          <w:szCs w:val="24"/>
        </w:rPr>
        <w:t>.</w:t>
      </w:r>
    </w:p>
    <w:p w:rsidR="00542D99" w:rsidRPr="00184062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образовательного процесса.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 xml:space="preserve">Изучение учебного предмета </w:t>
      </w:r>
      <w:r w:rsidRPr="00C50C15">
        <w:rPr>
          <w:rFonts w:ascii="Times New Roman" w:hAnsi="Times New Roman"/>
          <w:b/>
          <w:sz w:val="24"/>
          <w:szCs w:val="24"/>
        </w:rPr>
        <w:t>«География»</w:t>
      </w:r>
      <w:r w:rsidRPr="00DE265D">
        <w:rPr>
          <w:rFonts w:ascii="Times New Roman" w:hAnsi="Times New Roman"/>
          <w:sz w:val="24"/>
          <w:szCs w:val="24"/>
        </w:rPr>
        <w:t xml:space="preserve"> в учебном плане предусмотрено с 7 класса – 2 часа (</w:t>
      </w:r>
      <w:r>
        <w:rPr>
          <w:rFonts w:ascii="Times New Roman" w:hAnsi="Times New Roman"/>
          <w:sz w:val="24"/>
          <w:szCs w:val="24"/>
        </w:rPr>
        <w:t xml:space="preserve">по программе  </w:t>
      </w:r>
      <w:proofErr w:type="spellStart"/>
      <w:r>
        <w:rPr>
          <w:rFonts w:ascii="Times New Roman" w:hAnsi="Times New Roman"/>
          <w:sz w:val="24"/>
          <w:szCs w:val="24"/>
        </w:rPr>
        <w:t>В.В.Николина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А.И.Алексеев</w:t>
      </w:r>
      <w:proofErr w:type="spellEnd"/>
      <w:r>
        <w:rPr>
          <w:rFonts w:ascii="Times New Roman" w:hAnsi="Times New Roman"/>
          <w:sz w:val="24"/>
          <w:szCs w:val="24"/>
        </w:rPr>
        <w:t xml:space="preserve">, «Полярная звезда», 7-9 </w:t>
      </w:r>
      <w:r w:rsidRPr="00DE265D">
        <w:rPr>
          <w:rFonts w:ascii="Times New Roman" w:hAnsi="Times New Roman"/>
          <w:sz w:val="24"/>
          <w:szCs w:val="24"/>
        </w:rPr>
        <w:t>в</w:t>
      </w:r>
      <w:r w:rsidRPr="008C22DD">
        <w:rPr>
          <w:rFonts w:ascii="Times New Roman" w:hAnsi="Times New Roman"/>
          <w:sz w:val="24"/>
          <w:szCs w:val="24"/>
        </w:rPr>
        <w:t xml:space="preserve">). </w:t>
      </w:r>
    </w:p>
    <w:p w:rsidR="00542D99" w:rsidRPr="00C50C15" w:rsidRDefault="00542D99" w:rsidP="00542D9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C50C15">
        <w:rPr>
          <w:rFonts w:ascii="Times New Roman" w:hAnsi="Times New Roman"/>
          <w:b/>
          <w:bCs/>
          <w:sz w:val="24"/>
          <w:szCs w:val="24"/>
        </w:rPr>
        <w:t>Формы промежуточной аттестации.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bCs/>
          <w:sz w:val="24"/>
          <w:szCs w:val="24"/>
        </w:rPr>
        <w:t>Текущий контроль успеваемости учащихся: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E265D">
        <w:rPr>
          <w:rFonts w:ascii="Times New Roman" w:hAnsi="Times New Roman"/>
          <w:sz w:val="24"/>
          <w:szCs w:val="24"/>
        </w:rPr>
        <w:t xml:space="preserve">-ых </w:t>
      </w:r>
      <w:proofErr w:type="gramStart"/>
      <w:r w:rsidRPr="00DE265D">
        <w:rPr>
          <w:rFonts w:ascii="Times New Roman" w:hAnsi="Times New Roman"/>
          <w:sz w:val="24"/>
          <w:szCs w:val="24"/>
        </w:rPr>
        <w:t>классах</w:t>
      </w:r>
      <w:proofErr w:type="gramEnd"/>
      <w:r w:rsidRPr="00DE265D">
        <w:rPr>
          <w:rFonts w:ascii="Times New Roman" w:hAnsi="Times New Roman"/>
          <w:sz w:val="24"/>
          <w:szCs w:val="24"/>
        </w:rPr>
        <w:t xml:space="preserve"> осуществляется: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в виде отметок по 5-ти балльной шкале по учебным предметам из обязательной части учебного плана ФГОС;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265D">
        <w:rPr>
          <w:rFonts w:ascii="Times New Roman" w:hAnsi="Times New Roman"/>
          <w:sz w:val="24"/>
          <w:szCs w:val="24"/>
        </w:rPr>
        <w:t>безотметочно</w:t>
      </w:r>
      <w:proofErr w:type="spellEnd"/>
      <w:r w:rsidRPr="00DE265D">
        <w:rPr>
          <w:rFonts w:ascii="Times New Roman" w:hAnsi="Times New Roman"/>
          <w:sz w:val="24"/>
          <w:szCs w:val="24"/>
        </w:rPr>
        <w:t xml:space="preserve"> по учебным предметам, курсам, преподаваемым за счет образовательного учр</w:t>
      </w:r>
      <w:r>
        <w:rPr>
          <w:rFonts w:ascii="Times New Roman" w:hAnsi="Times New Roman"/>
          <w:sz w:val="24"/>
          <w:szCs w:val="24"/>
        </w:rPr>
        <w:t>еждения</w:t>
      </w:r>
      <w:r w:rsidRPr="00DE265D">
        <w:rPr>
          <w:rFonts w:ascii="Times New Roman" w:hAnsi="Times New Roman"/>
          <w:sz w:val="24"/>
          <w:szCs w:val="24"/>
        </w:rPr>
        <w:t>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За устный ответ, письменные, самостоятельные, контрольные и другие виды работ отметка выставляется по 5-балльной системе и заносится в классный электронный журнал.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Порядок выставления отметок по результатам текущего контроля за четверть, полугодие: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отметки обучающихся за четверть выставляются на основании результатов текущего контроля успеваемости;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отметка за четверть является единой и отражает в обобщенном виде все стороны подготовки ученика.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При</w:t>
      </w:r>
      <w:r w:rsidRPr="00DE265D">
        <w:rPr>
          <w:rFonts w:ascii="Times New Roman" w:hAnsi="Times New Roman"/>
          <w:sz w:val="24"/>
          <w:szCs w:val="24"/>
        </w:rPr>
        <w:tab/>
        <w:t>получении учащимся неудовлетворительного результата текущего контроля успеваемости педагогический работник вправе в соответствии с образовательной программой самостоятельно определить проведение дополнительной работы с таким учащимся, провести индивидуализацию содержания образования по учебному предмету, корректировку образовательной деятельности в отношении данного ученика.</w:t>
      </w:r>
    </w:p>
    <w:p w:rsidR="00542D99" w:rsidRPr="00C50C15" w:rsidRDefault="00542D99" w:rsidP="00542D99">
      <w:pPr>
        <w:pStyle w:val="a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0C15">
        <w:rPr>
          <w:rFonts w:ascii="Times New Roman" w:hAnsi="Times New Roman"/>
          <w:b/>
          <w:bCs/>
          <w:sz w:val="24"/>
          <w:szCs w:val="24"/>
          <w:u w:val="single"/>
        </w:rPr>
        <w:t>Промежуточная аттестация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для 9</w:t>
      </w:r>
      <w:r w:rsidRPr="00DE265D">
        <w:rPr>
          <w:rFonts w:ascii="Times New Roman" w:hAnsi="Times New Roman"/>
          <w:sz w:val="24"/>
          <w:szCs w:val="24"/>
        </w:rPr>
        <w:t xml:space="preserve"> классов подразделяется на четвертную промежуточную аттестацию, которая проводится по каждому учебному предмету, курсу,  модулю по итогам четверти, а также годовую промежуточную аттестацию, которая проводится по каждому учебному предмету, курсу, дисциплине, модулю по итогам учебного года. 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 xml:space="preserve">Четвертная промежуточная аттестация устанавливается как среднее арифметическое текущих отметок по предмету,  курсу, дисциплине, округление производится в пользу </w:t>
      </w:r>
      <w:proofErr w:type="gramStart"/>
      <w:r w:rsidRPr="00DE265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E265D">
        <w:rPr>
          <w:rFonts w:ascii="Times New Roman" w:hAnsi="Times New Roman"/>
          <w:sz w:val="24"/>
          <w:szCs w:val="24"/>
        </w:rPr>
        <w:t xml:space="preserve">. 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 При переводе в следующий класс академической задолженностью обучающегося признаются его неудовлетворительные результаты промежуточной аттестации по одному или нескольким учебным предметам, курсам, модулям образовательной программы или </w:t>
      </w:r>
      <w:proofErr w:type="gramStart"/>
      <w:r w:rsidRPr="00DE265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65D">
        <w:rPr>
          <w:rFonts w:ascii="Times New Roman" w:hAnsi="Times New Roman"/>
          <w:sz w:val="24"/>
          <w:szCs w:val="24"/>
        </w:rPr>
        <w:t>прохождение</w:t>
      </w:r>
      <w:proofErr w:type="gramEnd"/>
      <w:r w:rsidRPr="00DE265D">
        <w:rPr>
          <w:rFonts w:ascii="Times New Roman" w:hAnsi="Times New Roman"/>
          <w:sz w:val="24"/>
          <w:szCs w:val="24"/>
        </w:rPr>
        <w:t xml:space="preserve"> им промежуточной аттестации при отсутствии уважительных причин. Процедура ликвидации академической задолженности осуществляется в соответствии с Порядком обучения </w:t>
      </w:r>
      <w:proofErr w:type="gramStart"/>
      <w:r w:rsidRPr="00DE265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265D">
        <w:rPr>
          <w:rFonts w:ascii="Times New Roman" w:hAnsi="Times New Roman"/>
          <w:sz w:val="24"/>
          <w:szCs w:val="24"/>
        </w:rPr>
        <w:t>, имеющих академическую задолженность по одному и более учебным предметам, курсам, дисциплинам. Учащиеся, не освоившие основную образовательную программ</w:t>
      </w:r>
      <w:r>
        <w:rPr>
          <w:rFonts w:ascii="Times New Roman" w:hAnsi="Times New Roman"/>
          <w:sz w:val="24"/>
          <w:szCs w:val="24"/>
        </w:rPr>
        <w:t>у</w:t>
      </w:r>
      <w:r w:rsidRPr="00DE265D">
        <w:rPr>
          <w:rFonts w:ascii="Times New Roman" w:hAnsi="Times New Roman"/>
          <w:sz w:val="24"/>
          <w:szCs w:val="24"/>
        </w:rPr>
        <w:t xml:space="preserve">, не допускаются к обучению на следующих уровнях общего образования. 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Промежуточную аттестацию в Школе:</w:t>
      </w:r>
    </w:p>
    <w:p w:rsidR="00542D99" w:rsidRPr="00DE265D" w:rsidRDefault="00542D99" w:rsidP="00542D99">
      <w:pPr>
        <w:pStyle w:val="a3"/>
        <w:jc w:val="both"/>
        <w:rPr>
          <w:rFonts w:ascii="Times New Roman" w:eastAsia="MS PGothic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в обязательном порядке проходят учащиеся, осваивающие основные образовательные прогр</w:t>
      </w:r>
      <w:r>
        <w:rPr>
          <w:rFonts w:ascii="Times New Roman" w:hAnsi="Times New Roman"/>
          <w:sz w:val="24"/>
          <w:szCs w:val="24"/>
        </w:rPr>
        <w:t xml:space="preserve">аммы </w:t>
      </w:r>
      <w:r w:rsidRPr="00DE265D">
        <w:rPr>
          <w:rFonts w:ascii="Times New Roman" w:hAnsi="Times New Roman"/>
          <w:sz w:val="24"/>
          <w:szCs w:val="24"/>
        </w:rPr>
        <w:t xml:space="preserve"> основного общего образова</w:t>
      </w:r>
      <w:r>
        <w:rPr>
          <w:rFonts w:ascii="Times New Roman" w:hAnsi="Times New Roman"/>
          <w:sz w:val="24"/>
          <w:szCs w:val="24"/>
        </w:rPr>
        <w:t>ния</w:t>
      </w:r>
      <w:r w:rsidRPr="00DE265D">
        <w:rPr>
          <w:rFonts w:ascii="Times New Roman" w:hAnsi="Times New Roman"/>
          <w:sz w:val="24"/>
          <w:szCs w:val="24"/>
        </w:rPr>
        <w:t xml:space="preserve"> во всех формах обучения, а также учащиеся, осваивающие образовательные программы Школы по индивидуальным учебным планам, </w:t>
      </w:r>
      <w:r w:rsidRPr="00DE265D">
        <w:rPr>
          <w:rFonts w:ascii="Times New Roman" w:hAnsi="Times New Roman"/>
          <w:sz w:val="24"/>
          <w:szCs w:val="24"/>
        </w:rPr>
        <w:lastRenderedPageBreak/>
        <w:t>в т. ч. осуществляющие ускоренное или иное обучение с учетом особенностей и образовательных потребностей конкретного учащегося;</w:t>
      </w:r>
    </w:p>
    <w:p w:rsidR="00542D99" w:rsidRPr="00DE265D" w:rsidRDefault="00542D99" w:rsidP="00542D99">
      <w:pPr>
        <w:pStyle w:val="a3"/>
        <w:jc w:val="both"/>
        <w:rPr>
          <w:rFonts w:ascii="Times New Roman" w:eastAsia="MS PGothic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могут проходить по заявлению родителей (законных представителей) учащиеся, осваивающие основные образовательные программы: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 xml:space="preserve">в форме семейного образования (далее </w:t>
      </w:r>
      <w:r>
        <w:rPr>
          <w:rFonts w:ascii="Times New Roman" w:hAnsi="Times New Roman"/>
          <w:sz w:val="24"/>
          <w:szCs w:val="24"/>
        </w:rPr>
        <w:t xml:space="preserve">- экстерны) учащиеся </w:t>
      </w:r>
      <w:r w:rsidRPr="00DE265D">
        <w:rPr>
          <w:rFonts w:ascii="Times New Roman" w:hAnsi="Times New Roman"/>
          <w:sz w:val="24"/>
          <w:szCs w:val="24"/>
        </w:rPr>
        <w:t xml:space="preserve"> основного общего образования.</w:t>
      </w:r>
    </w:p>
    <w:p w:rsidR="00542D99" w:rsidRPr="00DE265D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Промежуточная аттестация учащихся  основной школы проводится  в форме: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итоговой контрольной работы;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тестирования;</w:t>
      </w:r>
    </w:p>
    <w:p w:rsidR="00542D99" w:rsidRPr="00DE265D" w:rsidRDefault="00542D99" w:rsidP="00542D99">
      <w:pPr>
        <w:pStyle w:val="a3"/>
        <w:jc w:val="both"/>
        <w:rPr>
          <w:rFonts w:ascii="Times New Roman" w:eastAsia="Symbo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E265D">
        <w:rPr>
          <w:rFonts w:ascii="Times New Roman" w:hAnsi="Times New Roman"/>
          <w:sz w:val="24"/>
          <w:szCs w:val="24"/>
        </w:rPr>
        <w:t>защиты индивидуального/группового проекта;</w:t>
      </w:r>
    </w:p>
    <w:p w:rsidR="00542D99" w:rsidRPr="00542D99" w:rsidRDefault="00542D99" w:rsidP="00542D9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265D">
        <w:rPr>
          <w:rFonts w:ascii="Times New Roman" w:hAnsi="Times New Roman"/>
          <w:sz w:val="24"/>
          <w:szCs w:val="24"/>
        </w:rPr>
        <w:t>Перечень учебных предметов, курсов, дисциплин, выносимых на промежуточную аттестацию, и форма проведения определяется основной образовательной программой (по уровням общего о</w:t>
      </w:r>
      <w:r>
        <w:rPr>
          <w:rFonts w:ascii="Times New Roman" w:hAnsi="Times New Roman"/>
          <w:sz w:val="24"/>
          <w:szCs w:val="24"/>
        </w:rPr>
        <w:t>бразования) и учебными планами.</w:t>
      </w:r>
    </w:p>
    <w:p w:rsidR="00542D99" w:rsidRDefault="00542D99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184062" w:rsidRDefault="00184062" w:rsidP="00542D99">
      <w:pPr>
        <w:pStyle w:val="a3"/>
        <w:rPr>
          <w:rFonts w:ascii="Times New Roman" w:hAnsi="Times New Roman"/>
          <w:b/>
          <w:sz w:val="24"/>
          <w:szCs w:val="24"/>
        </w:rPr>
      </w:pPr>
    </w:p>
    <w:p w:rsidR="00542D99" w:rsidRPr="00F24AAB" w:rsidRDefault="00542D99" w:rsidP="0054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Учебный план для  </w:t>
      </w:r>
      <w:r w:rsidRPr="00F24AAB">
        <w:rPr>
          <w:rFonts w:ascii="Times New Roman" w:eastAsia="Calibri" w:hAnsi="Times New Roman" w:cs="Times New Roman"/>
          <w:b/>
          <w:sz w:val="24"/>
          <w:szCs w:val="24"/>
        </w:rPr>
        <w:t>9 классов  (ФГОС  ООО)</w:t>
      </w:r>
    </w:p>
    <w:p w:rsidR="00542D99" w:rsidRPr="00F24AAB" w:rsidRDefault="00542D99" w:rsidP="00542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4AAB">
        <w:rPr>
          <w:rFonts w:ascii="Times New Roman" w:eastAsia="Calibri" w:hAnsi="Times New Roman" w:cs="Times New Roman"/>
          <w:b/>
          <w:sz w:val="24"/>
          <w:szCs w:val="24"/>
        </w:rPr>
        <w:t>МБОУ« Ануйская СОШ» на 202</w:t>
      </w:r>
      <w:r w:rsidR="0018406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24AA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18406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24AAB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tbl>
      <w:tblPr>
        <w:tblW w:w="9425" w:type="dxa"/>
        <w:jc w:val="center"/>
        <w:tblInd w:w="-2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5"/>
        <w:gridCol w:w="3346"/>
        <w:gridCol w:w="1518"/>
        <w:gridCol w:w="1599"/>
        <w:gridCol w:w="227"/>
      </w:tblGrid>
      <w:tr w:rsidR="00542D99" w:rsidRPr="00016631" w:rsidTr="00542D99">
        <w:trPr>
          <w:gridAfter w:val="3"/>
          <w:wAfter w:w="3344" w:type="dxa"/>
          <w:trHeight w:val="547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ind w:left="15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346" w:type="dxa"/>
            <w:vMerge w:val="restart"/>
            <w:tcBorders>
              <w:tr2bl w:val="single" w:sz="4" w:space="0" w:color="auto"/>
            </w:tcBorders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542D99" w:rsidRPr="00016631" w:rsidRDefault="00542D99" w:rsidP="000305E0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</w:tr>
      <w:tr w:rsidR="00542D99" w:rsidRPr="00D1362D" w:rsidTr="00542D99">
        <w:trPr>
          <w:trHeight w:val="318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tr2bl w:val="single" w:sz="4" w:space="0" w:color="auto"/>
            </w:tcBorders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166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1599" w:type="dxa"/>
            <w:tcBorders>
              <w:right w:val="nil"/>
            </w:tcBorders>
          </w:tcPr>
          <w:p w:rsidR="00542D99" w:rsidRPr="00092D06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92D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7" w:type="dxa"/>
            <w:tcBorders>
              <w:right w:val="nil"/>
            </w:tcBorders>
          </w:tcPr>
          <w:p w:rsidR="00542D99" w:rsidRPr="00D1362D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11"/>
          <w:jc w:val="center"/>
        </w:trPr>
        <w:tc>
          <w:tcPr>
            <w:tcW w:w="2735" w:type="dxa"/>
            <w:tcBorders>
              <w:bottom w:val="single" w:sz="4" w:space="0" w:color="auto"/>
            </w:tcBorders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42D99" w:rsidRPr="007E43B5" w:rsidRDefault="00542D99" w:rsidP="000305E0">
            <w:pPr>
              <w:spacing w:after="0" w:line="240" w:lineRule="atLeast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</w:tcBorders>
          </w:tcPr>
          <w:p w:rsidR="00542D99" w:rsidRPr="00092D06" w:rsidRDefault="00542D99" w:rsidP="000305E0">
            <w:pPr>
              <w:spacing w:after="0" w:line="240" w:lineRule="atLeast"/>
              <w:rPr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31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76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76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76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61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84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Второй иностранный язык (немецкий язык)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428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86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02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86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85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1518" w:type="dxa"/>
            <w:vMerge w:val="restart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55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История России</w:t>
            </w:r>
          </w:p>
        </w:tc>
        <w:tc>
          <w:tcPr>
            <w:tcW w:w="1518" w:type="dxa"/>
            <w:vMerge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75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75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E43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2/70</w:t>
            </w: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2/70</w:t>
            </w:r>
          </w:p>
        </w:tc>
      </w:tr>
      <w:tr w:rsidR="00542D99" w:rsidRPr="00D1362D" w:rsidTr="00542D99">
        <w:trPr>
          <w:gridAfter w:val="1"/>
          <w:wAfter w:w="227" w:type="dxa"/>
          <w:trHeight w:val="319"/>
          <w:jc w:val="center"/>
        </w:trPr>
        <w:tc>
          <w:tcPr>
            <w:tcW w:w="2735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182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16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52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52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16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02"/>
          <w:jc w:val="center"/>
        </w:trPr>
        <w:tc>
          <w:tcPr>
            <w:tcW w:w="2735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414"/>
          <w:jc w:val="center"/>
        </w:trPr>
        <w:tc>
          <w:tcPr>
            <w:tcW w:w="2735" w:type="dxa"/>
            <w:vMerge w:val="restart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386"/>
          <w:jc w:val="center"/>
        </w:trPr>
        <w:tc>
          <w:tcPr>
            <w:tcW w:w="2735" w:type="dxa"/>
            <w:vMerge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6" w:type="dxa"/>
          </w:tcPr>
          <w:p w:rsidR="00542D99" w:rsidRPr="00016631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Физическая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166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518" w:type="dxa"/>
          </w:tcPr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2D99" w:rsidRPr="007E43B5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85"/>
          <w:jc w:val="center"/>
        </w:trPr>
        <w:tc>
          <w:tcPr>
            <w:tcW w:w="6081" w:type="dxa"/>
            <w:gridSpan w:val="2"/>
          </w:tcPr>
          <w:p w:rsidR="00542D99" w:rsidRPr="00FE2374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23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518" w:type="dxa"/>
          </w:tcPr>
          <w:p w:rsidR="00542D99" w:rsidRPr="00FE2374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2/70</w:t>
            </w:r>
          </w:p>
        </w:tc>
      </w:tr>
      <w:tr w:rsidR="00542D99" w:rsidRPr="00D1362D" w:rsidTr="00542D99">
        <w:trPr>
          <w:gridAfter w:val="1"/>
          <w:wAfter w:w="227" w:type="dxa"/>
          <w:trHeight w:val="661"/>
          <w:jc w:val="center"/>
        </w:trPr>
        <w:tc>
          <w:tcPr>
            <w:tcW w:w="6081" w:type="dxa"/>
            <w:gridSpan w:val="2"/>
          </w:tcPr>
          <w:p w:rsidR="00542D99" w:rsidRPr="00D159A2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D159A2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518" w:type="dxa"/>
          </w:tcPr>
          <w:p w:rsidR="00542D99" w:rsidRPr="00D159A2" w:rsidRDefault="00542D99" w:rsidP="000305E0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159A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159A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дневка</w:t>
            </w:r>
          </w:p>
        </w:tc>
        <w:tc>
          <w:tcPr>
            <w:tcW w:w="1599" w:type="dxa"/>
          </w:tcPr>
          <w:p w:rsidR="00542D99" w:rsidRPr="00092D06" w:rsidRDefault="00542D99" w:rsidP="000305E0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42D99" w:rsidRPr="00D1362D" w:rsidTr="00542D99">
        <w:trPr>
          <w:gridAfter w:val="1"/>
          <w:wAfter w:w="227" w:type="dxa"/>
          <w:trHeight w:val="233"/>
          <w:jc w:val="center"/>
        </w:trPr>
        <w:tc>
          <w:tcPr>
            <w:tcW w:w="6081" w:type="dxa"/>
            <w:gridSpan w:val="2"/>
          </w:tcPr>
          <w:p w:rsidR="00542D99" w:rsidRPr="00D1362D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136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Максимально допустимая недельная нагрузка при 5 дневной рабочей неделе для 5 класса</w:t>
            </w:r>
          </w:p>
        </w:tc>
        <w:tc>
          <w:tcPr>
            <w:tcW w:w="1518" w:type="dxa"/>
          </w:tcPr>
          <w:p w:rsidR="00542D99" w:rsidRPr="00D1362D" w:rsidRDefault="00542D99" w:rsidP="000305E0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</w:p>
          <w:p w:rsidR="00542D99" w:rsidRPr="00D1362D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D1362D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highlight w:val="yellow"/>
              </w:rPr>
              <w:t>33/1155</w:t>
            </w:r>
          </w:p>
        </w:tc>
        <w:tc>
          <w:tcPr>
            <w:tcW w:w="1599" w:type="dxa"/>
          </w:tcPr>
          <w:p w:rsidR="00542D99" w:rsidRPr="00D1362D" w:rsidRDefault="00542D99" w:rsidP="000305E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yellow"/>
              </w:rPr>
            </w:pPr>
          </w:p>
          <w:p w:rsidR="00542D99" w:rsidRPr="00D1362D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136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152/5320</w:t>
            </w:r>
          </w:p>
        </w:tc>
      </w:tr>
      <w:tr w:rsidR="00542D99" w:rsidRPr="00D1362D" w:rsidTr="00542D99">
        <w:trPr>
          <w:gridAfter w:val="1"/>
          <w:wAfter w:w="227" w:type="dxa"/>
          <w:trHeight w:val="233"/>
          <w:jc w:val="center"/>
        </w:trPr>
        <w:tc>
          <w:tcPr>
            <w:tcW w:w="6081" w:type="dxa"/>
            <w:gridSpan w:val="2"/>
          </w:tcPr>
          <w:p w:rsidR="00542D99" w:rsidRPr="00D1362D" w:rsidRDefault="00542D99" w:rsidP="000305E0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D1362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Максимально допустимая недельная нагрузка при 6 дневной рабочей неделе</w:t>
            </w:r>
          </w:p>
        </w:tc>
        <w:tc>
          <w:tcPr>
            <w:tcW w:w="1518" w:type="dxa"/>
          </w:tcPr>
          <w:p w:rsidR="00542D99" w:rsidRPr="00D1362D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1362D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36/1260</w:t>
            </w:r>
          </w:p>
        </w:tc>
        <w:tc>
          <w:tcPr>
            <w:tcW w:w="1599" w:type="dxa"/>
          </w:tcPr>
          <w:p w:rsidR="00542D99" w:rsidRPr="00D1362D" w:rsidRDefault="00542D99" w:rsidP="000305E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1362D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167/</w:t>
            </w:r>
            <w:r w:rsidRPr="00D1362D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highlight w:val="yellow"/>
              </w:rPr>
              <w:t>5845</w:t>
            </w:r>
          </w:p>
        </w:tc>
      </w:tr>
    </w:tbl>
    <w:p w:rsidR="00542D99" w:rsidRDefault="00542D99" w:rsidP="00542D99"/>
    <w:p w:rsidR="00542D99" w:rsidRDefault="00542D99"/>
    <w:p w:rsidR="00542D99" w:rsidRDefault="00542D99"/>
    <w:sectPr w:rsidR="00542D99" w:rsidSect="00F442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E92"/>
    <w:rsid w:val="00092D06"/>
    <w:rsid w:val="000975C4"/>
    <w:rsid w:val="000A0201"/>
    <w:rsid w:val="000D5A27"/>
    <w:rsid w:val="00184062"/>
    <w:rsid w:val="001857AE"/>
    <w:rsid w:val="001B2F32"/>
    <w:rsid w:val="00201874"/>
    <w:rsid w:val="00451CA0"/>
    <w:rsid w:val="00485717"/>
    <w:rsid w:val="00542D99"/>
    <w:rsid w:val="0058589D"/>
    <w:rsid w:val="00663808"/>
    <w:rsid w:val="00766330"/>
    <w:rsid w:val="007A60BC"/>
    <w:rsid w:val="007B65CC"/>
    <w:rsid w:val="00C62A9F"/>
    <w:rsid w:val="00D1362D"/>
    <w:rsid w:val="00D8244B"/>
    <w:rsid w:val="00DE5696"/>
    <w:rsid w:val="00E24FE2"/>
    <w:rsid w:val="00F23E92"/>
    <w:rsid w:val="00F24AAB"/>
    <w:rsid w:val="00F442E8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3E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F23E92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2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442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Прокопьева Юлия</cp:lastModifiedBy>
  <cp:revision>17</cp:revision>
  <cp:lastPrinted>2023-10-09T06:36:00Z</cp:lastPrinted>
  <dcterms:created xsi:type="dcterms:W3CDTF">2020-11-19T07:29:00Z</dcterms:created>
  <dcterms:modified xsi:type="dcterms:W3CDTF">2024-10-13T09:20:00Z</dcterms:modified>
</cp:coreProperties>
</file>